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equities and financials have shown only modest day‑to‑day linkage to moves in the 10-year yield, suggesting relatively diffuse rate sensitivity across those benchmarks. Utilities stand out with a consistently negative correlation to yields across 15D, 30D, and 90D windows, indicating more concentrated rate sensitivity on the defensive side of the market. Recent 15D readings show a short-term pickup in positive rate linkage for major equity indices, while utilities’ inverse relationship to yields has remained notably stronger than that of other sectors.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