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commodities, with broad commodities, gold, and oil all showing clear negative links to DXY, strongest in gold. These assets have generally become more inversely tied to the dollar compared with their 90-day history, especially broad commodities and gold. By contrast, the S&amp;P 500 and Bitcoin show contained and near-zero USD linkage over 30 days, suggesting recent equity and crypto moves have been largely independent of dollar swings.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