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major U. S. equity indexes (SPX, NDX, RUT) have all shown similarly strong negative correlations with 10-year yields, indicating that stock moves have been broadly and meaningfully rates-sensitive rather than driven by a single segment. Financials are also trading with a notable negative tilt to yields, a departure from the more muted 90-day relationship and suggesting that higher rates have recently been a headwind rather than a tailwind for the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