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most closely tied to the S&amp;P 500, with a moderate inverse relationship that has been relatively stable across the 15D and 90D windows, pointing to concentrated USD influence in U. S. equities. Oil (USO) and broad commodities (COMT) both show moderate positive linkage to the USD, and those ties have strengthened compared with the 90D view, indicating that recent commodity swings have tended to move with the dollar.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