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most major equity benchmarks have shown only modest positive sensitivity to rising yields, with the S&amp;P 500 the least affected and the Russell 2000 and Financials a bit more tied to rate moves. Utilities stand out with a consistently strong negative relationship to yields across 15D, 30D, and 90D windows, indicating that rate sensitivity is concentrated in this traditionally interest-rate‑sensitive sector. Recent 15D readings suggest that short-term rate linkage has picked up for equities overall, while the 90D profiles remain relatively muted outside of Utilities.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