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mostly contained across risk assets, with the S&amp;P 500, oil, broad commodities, and Bitcoin all showing only mild day‑to‑day co-movement with the dollar. Gold is the clear outlier, with a concentrated, moderately negative correlation to the USD that has persisted over the 90D window even as the very short-term (15D) relationship has softened. Oil and broad commodities have flipped from strongly positive 15D correlations to weak or slightly negative 30D correlations, underscoring how unstable their USD sensitivity has been recently.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