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the S&amp;P 500, Nasdaq 100, and Russell 2000 have all shown moderately negative correlations to 10-year yields, indicating that equities have generally struggled on days when rates move higher, with large caps showing somewhat stronger sensitivity than small caps. Utilities stand out with a more pronounced and persistent negative linkage to yields, suggesting that rate moves have been hitting this defensive, bond‑like sector especially hard. The 15-day window shows even more negative readings across most risk assets, pointing to recently intensified rate sensitivity relative to both the last 30 and 90 trading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