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had a meaningful impact on three of the five assets, with the strongest linkage concentrated in broad commodities (COMT), which have tended to rise when the dollar rises. Equities (SPX) show a moderately inverse relationship to the USD, while oil (USO) is moderately aligned, pointing to differing dollar sensitivities within risk assets. Gold and Bitcoin show weaker, more mixed USD linkages on this window, with gold’s longer-term 90D correlation more clearly negative and Bitcoin’s relationship to the dollar fading over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