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Utilities show the clearest equity-rate linkage, with a strong negative correlation to yields, indicating they have been particularly sensitive to rate moves. The major equity indices (S&amp;P 500, Nasdaq 100, and Russell 2000) also lean negatively to yields, but more moderately, suggesting a broader equity tilt where rising rates have generally coincided with weaker index performance. Financials stand out with contained and slightly positive 30-day sensitivity, implying their returns have been less tightly tied to daily rate moves than the other sectors and indices.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