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commodities, with oil and the broad commodity basket both showing a moderate positive linkage to the dollar, while the S&amp;P 500 trades with a modest inverse relationship. Gold’s connection to the USD has faded recently toward neutral despite a more clearly negative 90-day pattern, and Bitcoin’s correlation remains weak across all windows. Overall, this mix points to clearer USD spillovers in traditional commodities than in equities, gold, or crypto over the current window.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