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most major equity benchmarks have moved modestly in the same direction as 10-year yields, with the S&amp;P 500, Nasdaq 100, Russell 2000, and Financials all showing moderate positive rate sensitivity. Utilities remain the clear outlier, with a consistently strong negative correlation to yields across 15D, 30D, and 90D windows, indicating that higher rates have tended to coincide with weaker utility returns. The influence of rate moves is therefore concentrated in interest‑sensitive sectors like Utilities (inversely) and, to a lesser degree, Financials (positively), while broader indices show only moderate linkage.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