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concentrated in gold, where returns have moved moderately in the opposite direction of the dollar, consistent with its 15D and 90D patterns. Equities, oil, broad commodities, and Bitcoin all show only mild or contained USD sensitivity over 30 days, with correlations that are small and in some cases changing sign across the 15D and 90D windows. This points to a backdrop where most major risk assets are not tightly tethered to day-to-day moves in the dollar, aside from gold’s more consistent inverse relationship.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