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major equity indexes have moved noticeably opposite to 10-year yields, with the S&amp;P 500 and Nasdaq 100 showing firm negative rate sensitivity and the Russell 2000 matching that pressure despite its more cyclical profile. Financials also lean negatively to yields, while Utilities now show a similar 30-day sensitivity to rate moves as they do over 90 days, suggesting a more persistent pattern for that sector. Overall, equity rate sensitivity is fairly broad rather than concentrated, with most major benchmarks reacting meaningfully when yields move.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