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equities and financials have all moved broadly in the same direction as yields, with the S&amp;P 500, Nasdaq 100, and Financials each showing a moderate positive linkage to TNX, and small caps somewhat less tied in. Utilities stand out with a clearly negative correlation to yields, and that downside rate sensitivity has been persistent across 15D, 30D, and 90D windows. Rate influence is therefore concentrated in a pro-yield tilt for broad equities and Financials, versus a consistently rate-pressured profile for Utilities.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