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where a moderately negative correlation suggests that gold has moved notably in the opposite direction of the dollar. The S&amp;P 500, oil, and bitcoin all show relatively contained USD linkages, with only mild inverse or near-zero relationships, indicating limited co-movement with DXY day to day. Broad commodities display a clearer negative alignment with the dollar, but still well short of gold’s intensity, and their 15D/90D patterns suggest this inverse relationship has been present but less pronounced over longer windows.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