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and key sectors have shown broadly similar, moderately negative sensitivity to 10-year yields, with the S&amp;P 500, Nasdaq 100, Russell 2000, Financials, and Utilities all moving inversely to rates. That inverse equity–rates linkage has intensified versus the 90-day window, especially for Utilities, where the negative correlation has remained relatively steady over both medium and longer horizons.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