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benchmarks have generally moved opposite to 10-year yields, with the S&amp;P 500 and Nasdaq 100 showing moderate downside sensitivity when rates rise and the Russell 2000 a bit less so. Utilities stand out with a consistently strong negative correlation across 15D, 30D, and 90D windows, indicating that rate moves have been a concentrated driver for that sector. Financials, by contrast, show only mild and fading linkage to yields over 30 days, suggesting their day-to-day moves have been driven more by non-rate factors recently.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