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equities and commodities, with the S&amp;P 500 showing the strongest inverse linkage and both oil (USO) and broad commodities (COMT) moving moderately in the same direction as the dollar. The recent 15-day window shows these relationships becoming even tighter in magnitude for SPX and especially for commodities, suggesting a nearer-term pickup in USD-driven moves across those assets. Gold and Bitcoin remain relatively contained versus the dollar on a 30-day view, though gold’s more negative 90-day reading points to a longer-running inverse pattern that has recently 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