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 S. equity indexes and Financials have shown only mild day‑to‑day linkage to moves in the 10‑year yield, implying relatively diffuse rate sensitivity across those sectors. Utilities remain the clearest equity laggard vs.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