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commodities, with gold showing the strongest inverse linkage and broad commodities and oil also moving notably opposite to the dollar. SPX and Bitcoin futures show contained, near-zero correlations to the USD over this window, indicating limited direct currency-driven moves. The 15D and 90D views broadly confirm this pattern, with commodities persistently more tied to the dollar while equities and crypto remain relatively decoupled.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