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equities and financials have moved moderately in the same direction as 10-year yields, with the S&amp;P 500, Nasdaq 100, Russell 2000, and Financials all showing similar, positive rate sensitivity. Utilities stand out with a strong negative correlation to yields, and that inverse relationship has persisted across 15D and 90D windows, indicating that rate sensitivity is concentrated in this traditionally defensive sector. The near-zero 90D correlations for the major equity indices suggest that this positive linkage to yields is more of a recent pattern than a long-standing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