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broad equities and Financials have only modestly moved with yields, while Utilities have shown a clear, persistent inverse relationship to rate moves. The negative correlation in Utilities is both stronger and more stable than for the major equity indices, indicating that rate sensitivity is concentrated there. Shorter-term (15D) readings show an even sharper split—cyclicals and Financials trading more in step with rising yields, Utilities pulling in the opposite direction—while the 90D window points to a longer-run pattern of only mild rate influence for most equity benchmarks.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