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linkages are concentrated in commodities, with broad commodities and especially gold moving more clearly opposite to the dollar, while equities and bitcoin show only mild day‑to‑day connection. Gold stands out as the single strongest USD‑sensitive asset in this set, with a consistently negative relationship across 15D, 30D, and 90D windows. Oil and the broad commodity basket also tend to weaken when the dollar strengthens, but that pattern is less pronounced than in gold and somewhat softer over 90 days.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