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large-cap U. S. equities—especially the Nasdaq 100—show a clear but moderate tendency to move opposite 10-year yields, while the S&amp;P 500 behaves similarly but slightly less sensitively. Small caps, Financials, and Utilities all show relatively contained 30D rate sensitivity, with correlations close to zero, and their 15D and 90D readings stay similarly muted.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