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the 30D window, USD sensitivity is concentrated in gold and bitcoin, with gold showing a moderate, consistently negative linkage and bitcoin a moderate, positive one. The S&amp;P 500 and oil sit in a contained range versus the dollar, implying only mild day-to-day co-movement, while broad commodities lean modestly inverse to USD. The stronger 15D correlations for gold and bitcoin suggest that their USD linkage has recently intensified compared with the longer 90D backdrop.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