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FDFEB" w14:textId="77777777" w:rsidR="00514C59" w:rsidRDefault="00000000">
      <w:r>
        <w:t>Quarterly Market Read: January 02, 2026</w:t>
      </w:r>
    </w:p>
    <w:p w14:paraId="3246D731" w14:textId="77777777" w:rsidR="00514C59" w:rsidRDefault="00000000">
      <w:r>
        <w:t>The market is saying (all numbers are QTD % returns):</w:t>
      </w:r>
    </w:p>
    <w:p w14:paraId="62BA44B2" w14:textId="77777777" w:rsidR="00514C59" w:rsidRDefault="00000000" w:rsidP="00D808E4">
      <w:pPr>
        <w:pStyle w:val="ListBullet"/>
        <w:numPr>
          <w:ilvl w:val="0"/>
          <w:numId w:val="10"/>
        </w:numPr>
      </w:pPr>
      <w:r>
        <w:t>Breadth: 66.6% of names are positive.</w:t>
      </w:r>
    </w:p>
    <w:p w14:paraId="1EEA4EF6" w14:textId="77777777" w:rsidR="00514C59" w:rsidRDefault="00000000" w:rsidP="00D808E4">
      <w:pPr>
        <w:pStyle w:val="ListBullet"/>
        <w:numPr>
          <w:ilvl w:val="0"/>
          <w:numId w:val="10"/>
        </w:numPr>
      </w:pPr>
      <w:r>
        <w:t>Information Technology: flat/firm (avg +0.61%)</w:t>
      </w:r>
    </w:p>
    <w:p w14:paraId="1DE3F53B" w14:textId="77777777" w:rsidR="00514C59" w:rsidRDefault="00000000" w:rsidP="00D808E4">
      <w:pPr>
        <w:pStyle w:val="ListBullet"/>
        <w:numPr>
          <w:ilvl w:val="0"/>
          <w:numId w:val="10"/>
        </w:numPr>
      </w:pPr>
      <w:r>
        <w:t>Industrials: flat/firm (avg +1.31%)</w:t>
      </w:r>
    </w:p>
    <w:p w14:paraId="4D43A54F" w14:textId="77777777" w:rsidR="00514C59" w:rsidRDefault="00000000" w:rsidP="00D808E4">
      <w:pPr>
        <w:pStyle w:val="ListBullet"/>
        <w:numPr>
          <w:ilvl w:val="0"/>
          <w:numId w:val="10"/>
        </w:numPr>
      </w:pPr>
      <w:r>
        <w:t>Consumer Staples: flat/firm (avg +0.25%)</w:t>
      </w:r>
    </w:p>
    <w:p w14:paraId="3729AF7A" w14:textId="77777777" w:rsidR="00514C59" w:rsidRDefault="00000000" w:rsidP="00D808E4">
      <w:pPr>
        <w:pStyle w:val="ListBullet"/>
        <w:numPr>
          <w:ilvl w:val="0"/>
          <w:numId w:val="10"/>
        </w:numPr>
      </w:pPr>
      <w:r>
        <w:t>Consumer Discretionary: flat/firm (avg +0.62%)</w:t>
      </w:r>
    </w:p>
    <w:p w14:paraId="553DA4C0" w14:textId="77777777" w:rsidR="00514C59" w:rsidRDefault="00000000" w:rsidP="00D808E4">
      <w:pPr>
        <w:pStyle w:val="ListBullet"/>
        <w:numPr>
          <w:ilvl w:val="0"/>
          <w:numId w:val="10"/>
        </w:numPr>
      </w:pPr>
      <w:r>
        <w:t>Financials: flat/firm (avg +0.11%)</w:t>
      </w:r>
    </w:p>
    <w:p w14:paraId="38E633E4" w14:textId="77777777" w:rsidR="00514C59" w:rsidRDefault="00000000" w:rsidP="00D808E4">
      <w:pPr>
        <w:pStyle w:val="ListBullet"/>
        <w:numPr>
          <w:ilvl w:val="0"/>
          <w:numId w:val="10"/>
        </w:numPr>
      </w:pPr>
      <w:r>
        <w:t>Utilities: flat/firm (avg +1.15%)</w:t>
      </w:r>
    </w:p>
    <w:p w14:paraId="72617902" w14:textId="77777777" w:rsidR="00514C59" w:rsidRDefault="00000000" w:rsidP="00D808E4">
      <w:pPr>
        <w:pStyle w:val="ListBullet"/>
        <w:numPr>
          <w:ilvl w:val="0"/>
          <w:numId w:val="10"/>
        </w:numPr>
      </w:pPr>
      <w:r>
        <w:t>Real Estate: flat/firm (avg -0.14%)</w:t>
      </w:r>
    </w:p>
    <w:p w14:paraId="206C30FF" w14:textId="77777777" w:rsidR="00514C59" w:rsidRDefault="00000000" w:rsidP="00D808E4">
      <w:pPr>
        <w:pStyle w:val="ListBullet"/>
        <w:numPr>
          <w:ilvl w:val="0"/>
          <w:numId w:val="10"/>
        </w:numPr>
      </w:pPr>
      <w:r>
        <w:t>Materials: firm (avg +1.94%)</w:t>
      </w:r>
    </w:p>
    <w:p w14:paraId="71A0766F" w14:textId="77777777" w:rsidR="00514C59" w:rsidRDefault="00000000" w:rsidP="00D808E4">
      <w:pPr>
        <w:pStyle w:val="ListBullet"/>
        <w:numPr>
          <w:ilvl w:val="0"/>
          <w:numId w:val="10"/>
        </w:numPr>
      </w:pPr>
      <w:r>
        <w:t>Energy: firm (avg +2.13%)</w:t>
      </w:r>
    </w:p>
    <w:p w14:paraId="33EC6B53" w14:textId="77777777" w:rsidR="00514C59" w:rsidRDefault="00000000" w:rsidP="00D808E4">
      <w:pPr>
        <w:pStyle w:val="ListBullet"/>
        <w:numPr>
          <w:ilvl w:val="0"/>
          <w:numId w:val="10"/>
        </w:numPr>
      </w:pPr>
      <w:r>
        <w:t>Health Care: flat/firm (avg +0.63%)</w:t>
      </w:r>
    </w:p>
    <w:p w14:paraId="0FDE1151" w14:textId="77777777" w:rsidR="00514C59" w:rsidRDefault="00000000" w:rsidP="00D808E4">
      <w:pPr>
        <w:pStyle w:val="ListBullet"/>
        <w:numPr>
          <w:ilvl w:val="0"/>
          <w:numId w:val="10"/>
        </w:numPr>
      </w:pPr>
      <w:r>
        <w:t>Communication Services: soft (avg -0.68%)</w:t>
      </w:r>
    </w:p>
    <w:p w14:paraId="554B12D0" w14:textId="77777777" w:rsidR="00514C59" w:rsidRDefault="00000000" w:rsidP="00D808E4">
      <w:pPr>
        <w:pStyle w:val="ListBullet"/>
        <w:numPr>
          <w:ilvl w:val="0"/>
          <w:numId w:val="10"/>
        </w:numPr>
      </w:pPr>
      <w:r>
        <w:t>Energy Complex: soft (avg -0.96%)</w:t>
      </w:r>
    </w:p>
    <w:p w14:paraId="54B1787C" w14:textId="77777777" w:rsidR="00514C59" w:rsidRDefault="00000000">
      <w:r>
        <w:t>Macro levers (QTD % returns):</w:t>
      </w:r>
    </w:p>
    <w:p w14:paraId="37681F77" w14:textId="77777777" w:rsidR="00514C59" w:rsidRDefault="00000000" w:rsidP="00D808E4">
      <w:pPr>
        <w:pStyle w:val="ListBullet"/>
        <w:numPr>
          <w:ilvl w:val="0"/>
          <w:numId w:val="11"/>
        </w:numPr>
      </w:pPr>
      <w:r>
        <w:t>Gold: flat (avg +0.50%)</w:t>
      </w:r>
    </w:p>
    <w:p w14:paraId="308BD9B8" w14:textId="77777777" w:rsidR="00514C59" w:rsidRDefault="00000000" w:rsidP="00D808E4">
      <w:pPr>
        <w:pStyle w:val="ListBullet"/>
        <w:numPr>
          <w:ilvl w:val="0"/>
          <w:numId w:val="11"/>
        </w:numPr>
      </w:pPr>
      <w:r>
        <w:t>USD: flat (avg +0.30%)</w:t>
      </w:r>
    </w:p>
    <w:p w14:paraId="002C383F" w14:textId="77777777" w:rsidR="00514C59" w:rsidRDefault="00000000" w:rsidP="00D808E4">
      <w:pPr>
        <w:pStyle w:val="ListBullet"/>
        <w:numPr>
          <w:ilvl w:val="0"/>
          <w:numId w:val="11"/>
        </w:numPr>
      </w:pPr>
      <w:r>
        <w:t>Yields: flat (avg +0.51%)</w:t>
      </w:r>
    </w:p>
    <w:p w14:paraId="3B76788B" w14:textId="77777777" w:rsidR="00514C59" w:rsidRDefault="00000000" w:rsidP="00D808E4">
      <w:pPr>
        <w:pStyle w:val="ListBullet"/>
        <w:numPr>
          <w:ilvl w:val="0"/>
          <w:numId w:val="11"/>
        </w:numPr>
      </w:pPr>
      <w:r>
        <w:t>Bonds: flat (avg -0.06%)</w:t>
      </w:r>
    </w:p>
    <w:p w14:paraId="4AFB340E" w14:textId="77777777" w:rsidR="00514C59" w:rsidRDefault="00000000" w:rsidP="00D808E4">
      <w:pPr>
        <w:pStyle w:val="ListBullet"/>
        <w:numPr>
          <w:ilvl w:val="0"/>
          <w:numId w:val="11"/>
        </w:numPr>
      </w:pPr>
      <w:r>
        <w:t>Energy Complex: soft (avg -0.96%)</w:t>
      </w:r>
    </w:p>
    <w:p w14:paraId="47413E3F" w14:textId="77777777" w:rsidR="00514C59" w:rsidRDefault="00000000">
      <w:r>
        <w:t>Bottom line: With two-thirds of stocks positive QTD, breadth is constructive but leadership remains narrow and fairly muted, with most sectors only modestly positive and clustered in a “flat/firm” range, while firmer performance in cyclicals like Energy and Materials contrasts with softness in Communication Services and a slight drag in Real Estate. The tape is signaling a market that is grinding higher rather than ripping, consistent with flat-to-firm moves in key macro levers—gold, the dollar, yields, and bonds are all effectively rangebound, and a softer Energy Complex has yet to translate into broad factor or style inflection. Macro conditions reflect an environment where growth is slowing and earnings revisions are still under pressure while inflation remains sticky versus pre-COVID norms, and that combination is reinforcing a cautious, selective risk posture rather than a decisive rotation, as investors lean into quality and defensiveness without fully abandoning cyclical exposure.</w:t>
      </w:r>
    </w:p>
    <w:sectPr w:rsidR="00514C5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4F6F96"/>
    <w:multiLevelType w:val="hybridMultilevel"/>
    <w:tmpl w:val="5860DE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716999"/>
    <w:multiLevelType w:val="hybridMultilevel"/>
    <w:tmpl w:val="DD2EB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67521103">
    <w:abstractNumId w:val="8"/>
  </w:num>
  <w:num w:numId="2" w16cid:durableId="1105689128">
    <w:abstractNumId w:val="6"/>
  </w:num>
  <w:num w:numId="3" w16cid:durableId="1193303505">
    <w:abstractNumId w:val="5"/>
  </w:num>
  <w:num w:numId="4" w16cid:durableId="1278952123">
    <w:abstractNumId w:val="4"/>
  </w:num>
  <w:num w:numId="5" w16cid:durableId="999306160">
    <w:abstractNumId w:val="7"/>
  </w:num>
  <w:num w:numId="6" w16cid:durableId="966277488">
    <w:abstractNumId w:val="3"/>
  </w:num>
  <w:num w:numId="7" w16cid:durableId="823353708">
    <w:abstractNumId w:val="2"/>
  </w:num>
  <w:num w:numId="8" w16cid:durableId="1792086174">
    <w:abstractNumId w:val="1"/>
  </w:num>
  <w:num w:numId="9" w16cid:durableId="506481864">
    <w:abstractNumId w:val="0"/>
  </w:num>
  <w:num w:numId="10" w16cid:durableId="1434741577">
    <w:abstractNumId w:val="10"/>
  </w:num>
  <w:num w:numId="11" w16cid:durableId="10808307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14C59"/>
    <w:rsid w:val="006F225C"/>
    <w:rsid w:val="00AA1D8D"/>
    <w:rsid w:val="00B47730"/>
    <w:rsid w:val="00CB0664"/>
    <w:rsid w:val="00D808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1BCEFE"/>
  <w14:defaultImageDpi w14:val="300"/>
  <w15:docId w15:val="{19F209C3-67E2-4726-8123-6AF73FC4E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259</Words>
  <Characters>1481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2026-01-03T01:05:00Z</dcterms:created>
  <dcterms:modified xsi:type="dcterms:W3CDTF">2026-01-03T01:05:00Z</dcterms:modified>
  <cp:category/>
</cp:coreProperties>
</file>