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1D6E939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2C4627">
        <w:t>Macro conditions reflect a market recalibrating to slowing growth and still-elevated-but-easing inflation expectations, with a stronger USD and higher yields pressuring Gold and Bonds while the broader energy complex traded lower despite sector-level equity strength, underscoring a cautious stance toward forward earnings and risk assets even as headline price pressures cool from prior extremes.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4562C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C4627"/>
    <w:rsid w:val="002D3D3A"/>
    <w:rsid w:val="002D714E"/>
    <w:rsid w:val="002E2570"/>
    <w:rsid w:val="0031422E"/>
    <w:rsid w:val="00320A80"/>
    <w:rsid w:val="00341859"/>
    <w:rsid w:val="003A41B5"/>
    <w:rsid w:val="003A7135"/>
    <w:rsid w:val="003C18C0"/>
    <w:rsid w:val="003D1E42"/>
    <w:rsid w:val="003D4530"/>
    <w:rsid w:val="004205C2"/>
    <w:rsid w:val="004343ED"/>
    <w:rsid w:val="0043726C"/>
    <w:rsid w:val="00470C9B"/>
    <w:rsid w:val="00473204"/>
    <w:rsid w:val="00486EAF"/>
    <w:rsid w:val="00487528"/>
    <w:rsid w:val="004B54D8"/>
    <w:rsid w:val="004C0951"/>
    <w:rsid w:val="004C6372"/>
    <w:rsid w:val="004D4392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66A10"/>
    <w:rsid w:val="009C43A2"/>
    <w:rsid w:val="009D5CC7"/>
    <w:rsid w:val="00A01661"/>
    <w:rsid w:val="00A1108A"/>
    <w:rsid w:val="00A24917"/>
    <w:rsid w:val="00A66203"/>
    <w:rsid w:val="00AB5430"/>
    <w:rsid w:val="00AE05E9"/>
    <w:rsid w:val="00AF286D"/>
    <w:rsid w:val="00B20151"/>
    <w:rsid w:val="00B24CCD"/>
    <w:rsid w:val="00B33B96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56</Words>
  <Characters>355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48</cp:revision>
  <dcterms:created xsi:type="dcterms:W3CDTF">2025-10-18T00:25:00Z</dcterms:created>
  <dcterms:modified xsi:type="dcterms:W3CDTF">2026-01-03T01:04:00Z</dcterms:modified>
</cp:coreProperties>
</file>