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days, Utilities show the most concentrated equity-rate sensitivity, with a consistently strong negative link to yields across 15D, 30D, and 90D windows. The S&amp;P 500, Nasdaq 100, Russell 2000, and Financials all lean moderately negative to yields on a 30D basis, but their mixed 15D and near-zero 90D readings suggest more variable, less stable rate sensitivity.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