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view, USD sensitivity is concentrated in gold and oil, which both tend to move inversely to the dollar, with gold showing the strongest linkage and oil close behind. Equities show a mild negative relationship to the USD, while broad commodities and especially Bitcoin have only limited day‑to‑day connection to dollar moves. Over 15 days, these inverse links look a bit sharper, but the 90-day readings suggest the relationship has been weaker over a longer horizon.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