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equities show a moderate negative linkage to 10-year yields, with the S&amp;P 500 and Nasdaq 100 both more rate-sensitive than small caps, whose relationship is relatively contained. The stronger 15D negatives for SPX and XLU suggest rate moves have recently weighed more heavily on large caps and defensives, while the near-zero 90D readings for most equity indexes point to a much weaker connection over the longer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