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the 30-day window, USD sensitivity is concentrated in precious metals and broad commodities, with gold showing the clearest inverse linkage (GLD moderately negative, COMT also meaningfully negative), and both becoming more negatively tied to the dollar over the shorter 15-day span. Equities and oil sit in a contained zone with only weak USD co-moves, while Bitcoin shows a modest positive correlation to the dollar that is above its 90-day norm but still not dominant.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