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38C8E1F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434593">
        <w:t>Macro conditions reflect slowing but still positive growth alongside easing yet elevated inflation expectations, and today’s firm USD, rising yields, flat gold and bonds, plus a sharply weaker energy complex are consistent with markets starting to question the durability of the prior growth run while fading inflation tail risk at the margin.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87EB0"/>
    <w:rsid w:val="003C4A04"/>
    <w:rsid w:val="004205C2"/>
    <w:rsid w:val="00434593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C6364"/>
    <w:rsid w:val="005D35DB"/>
    <w:rsid w:val="005D4749"/>
    <w:rsid w:val="00606D5D"/>
    <w:rsid w:val="00615605"/>
    <w:rsid w:val="00645233"/>
    <w:rsid w:val="00671C2C"/>
    <w:rsid w:val="006B215F"/>
    <w:rsid w:val="006D59AC"/>
    <w:rsid w:val="006E1264"/>
    <w:rsid w:val="006F2670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51</Words>
  <Characters>306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36</cp:revision>
  <dcterms:created xsi:type="dcterms:W3CDTF">2025-10-14T15:51:00Z</dcterms:created>
  <dcterms:modified xsi:type="dcterms:W3CDTF">2025-12-09T01:04:00Z</dcterms:modified>
</cp:coreProperties>
</file>