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6A2199C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62515C">
        <w:t>Macro conditions reflect slowing growth and still-elevated-but-easing inflation expectations, and the week’s factor mix—higher yields, a firm USD, flat bonds and gold, and a sharply weaker energy complex—aligns with a tape that is increasingly discounting pressure on forward earnings and cash flows rather than a renewed acceleration in nominal activity.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A5E2F"/>
    <w:rsid w:val="000C488F"/>
    <w:rsid w:val="000E0513"/>
    <w:rsid w:val="000E0FB2"/>
    <w:rsid w:val="001114DC"/>
    <w:rsid w:val="00132CE2"/>
    <w:rsid w:val="00134680"/>
    <w:rsid w:val="00136E36"/>
    <w:rsid w:val="001562A5"/>
    <w:rsid w:val="00165186"/>
    <w:rsid w:val="001670B4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9D5CC7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04A1"/>
    <w:rsid w:val="00F0530E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51</Words>
  <Characters>318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30</cp:revision>
  <dcterms:created xsi:type="dcterms:W3CDTF">2025-10-18T00:25:00Z</dcterms:created>
  <dcterms:modified xsi:type="dcterms:W3CDTF">2025-12-09T01:05:00Z</dcterms:modified>
</cp:coreProperties>
</file>