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days, equity and sector returns show only modest day‑to‑day linkage to 10-year yields, with all listed indices and sectors sitting in a low-sensitivity band. The Nasdaq 100 and Utilities lean somewhat more negatively correlated to rates than the broad S&amp;P and Russell 2000, hinting at a bit more pressure when yields tick higher. Financials remain only mildly positively tied to yields on this window, suggesting that rate moves are not the dominant driver for the sector right now.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