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USD correlations: On the 30-day window, USD linkages are mostly contained across risk assets, with only gold showing a meaningful and consistently negative relationship to the dollar. That influence is concentrated in GLD, which has stayed mildly inverse to USD across 15D, 30D, and 90D. Equities, oil, broad commodities, and bitcoin all show only weak and somewhat unstable USD sensitivity over these horizons.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