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74C73" w14:textId="77777777" w:rsidR="00D44F1B" w:rsidRDefault="00000000">
      <w:r>
        <w:t>Quarterly Market Read: December 09, 2025</w:t>
      </w:r>
    </w:p>
    <w:p w14:paraId="7318A8C7" w14:textId="77777777" w:rsidR="00D44F1B" w:rsidRDefault="00000000">
      <w:r>
        <w:t>The market is saying (all numbers are QTD % returns):</w:t>
      </w:r>
    </w:p>
    <w:p w14:paraId="140FD434" w14:textId="77777777" w:rsidR="00D44F1B" w:rsidRDefault="00000000" w:rsidP="00ED7134">
      <w:pPr>
        <w:pStyle w:val="ListBullet"/>
        <w:numPr>
          <w:ilvl w:val="0"/>
          <w:numId w:val="10"/>
        </w:numPr>
      </w:pPr>
      <w:r>
        <w:t>Breadth: 48.6% of names are positive.</w:t>
      </w:r>
    </w:p>
    <w:p w14:paraId="3E4C96BF" w14:textId="77777777" w:rsidR="00D44F1B" w:rsidRDefault="00000000" w:rsidP="00ED7134">
      <w:pPr>
        <w:pStyle w:val="ListBullet"/>
        <w:numPr>
          <w:ilvl w:val="0"/>
          <w:numId w:val="10"/>
        </w:numPr>
      </w:pPr>
      <w:r>
        <w:t>Information Technology: leading (avg +5.74%)</w:t>
      </w:r>
    </w:p>
    <w:p w14:paraId="1B3FFEA5" w14:textId="77777777" w:rsidR="00D44F1B" w:rsidRDefault="00000000" w:rsidP="00ED7134">
      <w:pPr>
        <w:pStyle w:val="ListBullet"/>
        <w:numPr>
          <w:ilvl w:val="0"/>
          <w:numId w:val="10"/>
        </w:numPr>
      </w:pPr>
      <w:r>
        <w:t>Industrials: soft (avg -0.71%)</w:t>
      </w:r>
    </w:p>
    <w:p w14:paraId="0118D0F1" w14:textId="77777777" w:rsidR="00D44F1B" w:rsidRDefault="00000000" w:rsidP="00ED7134">
      <w:pPr>
        <w:pStyle w:val="ListBullet"/>
        <w:numPr>
          <w:ilvl w:val="0"/>
          <w:numId w:val="10"/>
        </w:numPr>
      </w:pPr>
      <w:r>
        <w:t>Consumer Staples: flat/firm (avg -0.43%)</w:t>
      </w:r>
    </w:p>
    <w:p w14:paraId="30146E97" w14:textId="77777777" w:rsidR="00D44F1B" w:rsidRDefault="00000000" w:rsidP="00ED7134">
      <w:pPr>
        <w:pStyle w:val="ListBullet"/>
        <w:numPr>
          <w:ilvl w:val="0"/>
          <w:numId w:val="10"/>
        </w:numPr>
      </w:pPr>
      <w:r>
        <w:t>Consumer Discretionary: heavy (avg -3.40%)</w:t>
      </w:r>
    </w:p>
    <w:p w14:paraId="1AE363D0" w14:textId="77777777" w:rsidR="00D44F1B" w:rsidRDefault="00000000" w:rsidP="00ED7134">
      <w:pPr>
        <w:pStyle w:val="ListBullet"/>
        <w:numPr>
          <w:ilvl w:val="0"/>
          <w:numId w:val="10"/>
        </w:numPr>
      </w:pPr>
      <w:r>
        <w:t>Financials: soft (avg -1.16%)</w:t>
      </w:r>
    </w:p>
    <w:p w14:paraId="2078D015" w14:textId="77777777" w:rsidR="00D44F1B" w:rsidRDefault="00000000" w:rsidP="00ED7134">
      <w:pPr>
        <w:pStyle w:val="ListBullet"/>
        <w:numPr>
          <w:ilvl w:val="0"/>
          <w:numId w:val="10"/>
        </w:numPr>
      </w:pPr>
      <w:r>
        <w:t>Utilities: heavy (avg -3.16%)</w:t>
      </w:r>
    </w:p>
    <w:p w14:paraId="55D38996" w14:textId="77777777" w:rsidR="00D44F1B" w:rsidRDefault="00000000" w:rsidP="00ED7134">
      <w:pPr>
        <w:pStyle w:val="ListBullet"/>
        <w:numPr>
          <w:ilvl w:val="0"/>
          <w:numId w:val="10"/>
        </w:numPr>
      </w:pPr>
      <w:r>
        <w:t>Real Estate: heavy (avg -7.01%)</w:t>
      </w:r>
    </w:p>
    <w:p w14:paraId="2F521A6B" w14:textId="77777777" w:rsidR="00D44F1B" w:rsidRDefault="00000000" w:rsidP="00ED7134">
      <w:pPr>
        <w:pStyle w:val="ListBullet"/>
        <w:numPr>
          <w:ilvl w:val="0"/>
          <w:numId w:val="10"/>
        </w:numPr>
      </w:pPr>
      <w:r>
        <w:t>Materials: heavy (avg -3.69%)</w:t>
      </w:r>
    </w:p>
    <w:p w14:paraId="7BCC51A2" w14:textId="77777777" w:rsidR="00D44F1B" w:rsidRDefault="00000000" w:rsidP="00ED7134">
      <w:pPr>
        <w:pStyle w:val="ListBullet"/>
        <w:numPr>
          <w:ilvl w:val="0"/>
          <w:numId w:val="10"/>
        </w:numPr>
      </w:pPr>
      <w:r>
        <w:t>Energy: firm (avg +3.32%)</w:t>
      </w:r>
    </w:p>
    <w:p w14:paraId="6864C117" w14:textId="77777777" w:rsidR="00D44F1B" w:rsidRDefault="00000000" w:rsidP="00ED7134">
      <w:pPr>
        <w:pStyle w:val="ListBullet"/>
        <w:numPr>
          <w:ilvl w:val="0"/>
          <w:numId w:val="10"/>
        </w:numPr>
      </w:pPr>
      <w:r>
        <w:t>Health Care: leading (avg +6.12%)</w:t>
      </w:r>
    </w:p>
    <w:p w14:paraId="7C507854" w14:textId="77777777" w:rsidR="00D44F1B" w:rsidRDefault="00000000" w:rsidP="00ED7134">
      <w:pPr>
        <w:pStyle w:val="ListBullet"/>
        <w:numPr>
          <w:ilvl w:val="0"/>
          <w:numId w:val="10"/>
        </w:numPr>
      </w:pPr>
      <w:r>
        <w:t>Communication Services: heavy (avg -5.64%)</w:t>
      </w:r>
    </w:p>
    <w:p w14:paraId="36251AB7" w14:textId="77777777" w:rsidR="00D44F1B" w:rsidRDefault="00000000" w:rsidP="00ED7134">
      <w:pPr>
        <w:pStyle w:val="ListBullet"/>
        <w:numPr>
          <w:ilvl w:val="0"/>
          <w:numId w:val="10"/>
        </w:numPr>
      </w:pPr>
      <w:r>
        <w:t>Energy Complex: flat/firm (avg +1.30%)</w:t>
      </w:r>
    </w:p>
    <w:p w14:paraId="3C5BA289" w14:textId="77777777" w:rsidR="00D44F1B" w:rsidRDefault="00000000">
      <w:r>
        <w:t>Macro levers (QTD % returns):</w:t>
      </w:r>
    </w:p>
    <w:p w14:paraId="22773F0F" w14:textId="77777777" w:rsidR="00D44F1B" w:rsidRDefault="00000000" w:rsidP="00ED7134">
      <w:pPr>
        <w:pStyle w:val="ListBullet"/>
        <w:numPr>
          <w:ilvl w:val="0"/>
          <w:numId w:val="11"/>
        </w:numPr>
      </w:pPr>
      <w:r>
        <w:t>Gold: bid (avg +8.98%)</w:t>
      </w:r>
    </w:p>
    <w:p w14:paraId="53BADB65" w14:textId="77777777" w:rsidR="00D44F1B" w:rsidRDefault="00000000" w:rsidP="00ED7134">
      <w:pPr>
        <w:pStyle w:val="ListBullet"/>
        <w:numPr>
          <w:ilvl w:val="0"/>
          <w:numId w:val="11"/>
        </w:numPr>
      </w:pPr>
      <w:r>
        <w:t>USD: firm (avg +2.36%)</w:t>
      </w:r>
    </w:p>
    <w:p w14:paraId="427F8D54" w14:textId="77777777" w:rsidR="00D44F1B" w:rsidRDefault="00000000" w:rsidP="00ED7134">
      <w:pPr>
        <w:pStyle w:val="ListBullet"/>
        <w:numPr>
          <w:ilvl w:val="0"/>
          <w:numId w:val="11"/>
        </w:numPr>
      </w:pPr>
      <w:r>
        <w:t>Yields: firm (avg +1.28%)</w:t>
      </w:r>
    </w:p>
    <w:p w14:paraId="325DAEFA" w14:textId="77777777" w:rsidR="00D44F1B" w:rsidRDefault="00000000" w:rsidP="00ED7134">
      <w:pPr>
        <w:pStyle w:val="ListBullet"/>
        <w:numPr>
          <w:ilvl w:val="0"/>
          <w:numId w:val="11"/>
        </w:numPr>
      </w:pPr>
      <w:r>
        <w:t>Bonds: falling (avg -1.04%)</w:t>
      </w:r>
    </w:p>
    <w:p w14:paraId="4F0E7008" w14:textId="77777777" w:rsidR="00D44F1B" w:rsidRDefault="00000000" w:rsidP="00ED7134">
      <w:pPr>
        <w:pStyle w:val="ListBullet"/>
        <w:numPr>
          <w:ilvl w:val="0"/>
          <w:numId w:val="11"/>
        </w:numPr>
      </w:pPr>
      <w:r>
        <w:t>Energy Complex (sector-level): firm (avg +1.30%)</w:t>
      </w:r>
    </w:p>
    <w:p w14:paraId="4FAD2196" w14:textId="77777777" w:rsidR="00D44F1B" w:rsidRDefault="00000000">
      <w:r>
        <w:t>Bottom line: QTD breadth is mixed with just under half the tape positive, leadership is narrow around Health Care and Information Technology, Energy is quietly firm, while rate‑sensitive and cyclically geared sectors like Real Estate, Communication Services, Consumer Discretionary, Utilities, Materials, Financials, and Industrials all lag, consistent with a market rewarding defensible earnings visibility over cyclical beta. Macro conditions reflect slowing growth and still‑sticky inflation expectations, and the combination of a bid in Gold, a firm USD, higher yields, and pressure on Bonds alongside a steady Energy Complex underscores a risk backdrop where the market is simultaneously hedging policy and growth downside while not yet pricing a clean disinflation or easing cycle, which lines up with the quarter‑to‑date sector performance pattern.</w:t>
      </w:r>
    </w:p>
    <w:sectPr w:rsidR="00D44F1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395E17"/>
    <w:multiLevelType w:val="hybridMultilevel"/>
    <w:tmpl w:val="B6DE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3F355F"/>
    <w:multiLevelType w:val="hybridMultilevel"/>
    <w:tmpl w:val="520AB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7624405">
    <w:abstractNumId w:val="8"/>
  </w:num>
  <w:num w:numId="2" w16cid:durableId="1730155421">
    <w:abstractNumId w:val="6"/>
  </w:num>
  <w:num w:numId="3" w16cid:durableId="831145737">
    <w:abstractNumId w:val="5"/>
  </w:num>
  <w:num w:numId="4" w16cid:durableId="850797050">
    <w:abstractNumId w:val="4"/>
  </w:num>
  <w:num w:numId="5" w16cid:durableId="378016887">
    <w:abstractNumId w:val="7"/>
  </w:num>
  <w:num w:numId="6" w16cid:durableId="1556621111">
    <w:abstractNumId w:val="3"/>
  </w:num>
  <w:num w:numId="7" w16cid:durableId="1203326031">
    <w:abstractNumId w:val="2"/>
  </w:num>
  <w:num w:numId="8" w16cid:durableId="1122573792">
    <w:abstractNumId w:val="1"/>
  </w:num>
  <w:num w:numId="9" w16cid:durableId="1355350455">
    <w:abstractNumId w:val="0"/>
  </w:num>
  <w:num w:numId="10" w16cid:durableId="157891594">
    <w:abstractNumId w:val="9"/>
  </w:num>
  <w:num w:numId="11" w16cid:durableId="64134929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C1FE4"/>
    <w:rsid w:val="00AA1D8D"/>
    <w:rsid w:val="00B47730"/>
    <w:rsid w:val="00CB0664"/>
    <w:rsid w:val="00D44F1B"/>
    <w:rsid w:val="00ED7134"/>
    <w:rsid w:val="00F555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46204F"/>
  <w14:defaultImageDpi w14:val="300"/>
  <w15:docId w15:val="{884FB0A5-4A37-4A08-A3AD-091337A4F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237</Words>
  <Characters>1355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2025-12-10T01:06:00Z</dcterms:created>
  <dcterms:modified xsi:type="dcterms:W3CDTF">2025-12-10T01:06:00Z</dcterms:modified>
  <cp:category/>
</cp:coreProperties>
</file>