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33B98F4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092E1D">
        <w:t>Macro posture shows growth expectations continuing to fade and earnings revisions staying under pressure even as inflation moderates from peak levels but remains structurally higher than the pre-COVID regime, a setup echoed by firmer USD and higher yields, steady bonds, resilient gold, and a sharp drawdown across the energy complex that together signal tighter financial conditions and rising skepticism on the durability of the cycle.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1114DC"/>
    <w:rsid w:val="00132CE2"/>
    <w:rsid w:val="00134680"/>
    <w:rsid w:val="00136E36"/>
    <w:rsid w:val="001562A5"/>
    <w:rsid w:val="00165186"/>
    <w:rsid w:val="001670B4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24917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04A1"/>
    <w:rsid w:val="00F0530E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31</cp:revision>
  <dcterms:created xsi:type="dcterms:W3CDTF">2025-10-18T00:25:00Z</dcterms:created>
  <dcterms:modified xsi:type="dcterms:W3CDTF">2025-12-10T01:07:00Z</dcterms:modified>
</cp:coreProperties>
</file>