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2006FF6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5A6235">
        <w:t>Macro conditions reflect growth expectations that are cooling from previously strong levels and inflation that is easing but still elevated versus the pre-pandemic regime, and today’s mix of a weaker USD, strong Gold, firmer yields, and flat bonds/energy complex fits a market that is beginning to price slower forward earnings and moderating price pressures without yet discounting an outright growth scare.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63F60"/>
    <w:rsid w:val="003643FB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49A6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58</Words>
  <Characters>364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46</cp:revision>
  <dcterms:created xsi:type="dcterms:W3CDTF">2025-10-14T15:51:00Z</dcterms:created>
  <dcterms:modified xsi:type="dcterms:W3CDTF">2025-12-23T00:47:00Z</dcterms:modified>
</cp:coreProperties>
</file>