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64CC" w14:textId="77777777" w:rsidR="009E41CF" w:rsidRPr="00193C94" w:rsidRDefault="00547C0F" w:rsidP="009E41CF">
      <w:r w:rsidRPr="00C73559">
        <w:rPr>
          <w:b/>
          <w:bCs/>
        </w:rPr>
        <w:t>Bottom line:</w:t>
      </w:r>
      <w:r w:rsidRPr="00C73559">
        <w:t xml:space="preserve"> </w:t>
      </w:r>
      <w:r w:rsidR="009E41CF" w:rsidRPr="00193C94">
        <w:t xml:space="preserve">Macro signals lack strong direction—gold softer, yields little changed, dollar steady—pointing to a </w:t>
      </w:r>
      <w:r w:rsidR="009E41CF" w:rsidRPr="00193C94">
        <w:rPr>
          <w:b/>
          <w:bCs/>
        </w:rPr>
        <w:t>transition phase</w:t>
      </w:r>
      <w:r w:rsidR="009E41CF" w:rsidRPr="00193C94">
        <w:t xml:space="preserve"> where markets are recalibrating expectations for both </w:t>
      </w:r>
      <w:r w:rsidR="009E41CF" w:rsidRPr="00193C94">
        <w:rPr>
          <w:b/>
          <w:bCs/>
        </w:rPr>
        <w:t>growth</w:t>
      </w:r>
      <w:r w:rsidR="009E41CF" w:rsidRPr="00193C94">
        <w:t xml:space="preserve"> and </w:t>
      </w:r>
      <w:r w:rsidR="009E41CF" w:rsidRPr="00193C94">
        <w:rPr>
          <w:b/>
          <w:bCs/>
        </w:rPr>
        <w:t>inflation</w:t>
      </w:r>
      <w:r w:rsidR="009E41CF" w:rsidRPr="00193C94">
        <w:t xml:space="preserve">. That argues for selective positioning rather than broad risk-on or risk-off. </w:t>
      </w:r>
    </w:p>
    <w:p w14:paraId="5A40CDC3" w14:textId="082AA5C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6DA8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6203"/>
    <w:rsid w:val="00AA2725"/>
    <w:rsid w:val="00AF286D"/>
    <w:rsid w:val="00AF716B"/>
    <w:rsid w:val="00BA3171"/>
    <w:rsid w:val="00C34B33"/>
    <w:rsid w:val="00CB07A2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1C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40</Words>
  <Characters>245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15</cp:revision>
  <dcterms:created xsi:type="dcterms:W3CDTF">2025-10-14T15:51:00Z</dcterms:created>
  <dcterms:modified xsi:type="dcterms:W3CDTF">2025-10-25T00:21:00Z</dcterms:modified>
</cp:coreProperties>
</file>