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758CA82E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29176B" w:rsidRPr="00565FD8">
        <w:t xml:space="preserve">Macro posture — </w:t>
      </w:r>
      <w:r w:rsidR="0029176B" w:rsidRPr="00565FD8">
        <w:rPr>
          <w:b/>
          <w:bCs/>
        </w:rPr>
        <w:t>gold weaker, USD firm, yields easing, bonds slightly firmer, and the energy complex bid</w:t>
      </w:r>
      <w:r w:rsidR="0029176B" w:rsidRPr="00565FD8">
        <w:t xml:space="preserve"> — points to steadier growth with easing inflation pressures, a backdrop supportive of </w:t>
      </w:r>
      <w:r w:rsidR="0029176B" w:rsidRPr="00565FD8">
        <w:rPr>
          <w:b/>
          <w:bCs/>
        </w:rPr>
        <w:t>risk assets</w:t>
      </w:r>
      <w:r w:rsidR="0029176B" w:rsidRPr="00565FD8">
        <w:t xml:space="preserve"> with rotation toward </w:t>
      </w:r>
      <w:r w:rsidR="0029176B" w:rsidRPr="00565FD8">
        <w:rPr>
          <w:b/>
          <w:bCs/>
        </w:rPr>
        <w:t>cyclical and commodity-linked exposures</w:t>
      </w:r>
      <w:r w:rsidR="0029176B" w:rsidRPr="00565FD8">
        <w:t>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0E0FB2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D714E"/>
    <w:rsid w:val="00320A80"/>
    <w:rsid w:val="00341859"/>
    <w:rsid w:val="003A41B5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606D5D"/>
    <w:rsid w:val="00615605"/>
    <w:rsid w:val="006D59AC"/>
    <w:rsid w:val="00766DFD"/>
    <w:rsid w:val="007739A4"/>
    <w:rsid w:val="007C7954"/>
    <w:rsid w:val="007F3A4E"/>
    <w:rsid w:val="00851B53"/>
    <w:rsid w:val="0085660D"/>
    <w:rsid w:val="008A5DDD"/>
    <w:rsid w:val="008B60BF"/>
    <w:rsid w:val="00917862"/>
    <w:rsid w:val="009C43A2"/>
    <w:rsid w:val="00A01661"/>
    <w:rsid w:val="00A1108A"/>
    <w:rsid w:val="00A66203"/>
    <w:rsid w:val="00AF286D"/>
    <w:rsid w:val="00B652DE"/>
    <w:rsid w:val="00B71F8B"/>
    <w:rsid w:val="00BA3171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1B5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</cp:revision>
  <dcterms:created xsi:type="dcterms:W3CDTF">2025-10-18T00:25:00Z</dcterms:created>
  <dcterms:modified xsi:type="dcterms:W3CDTF">2025-10-23T00:23:00Z</dcterms:modified>
</cp:coreProperties>
</file>