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2B58975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1D2239">
        <w:t>Macro conditions reflect slowing but still positive growth alongside moderating yet elevated inflation, and that mix is echoed in firm USD, higher gold, steady-to-firm yields, resilient bonds, and a softer energy complex, which together argue for a market that is cautiously rotating toward economically sensitive and quality assets but still paying for defensible cash flows as investors navigate decelerating growth with inflation not yet back to pre-COVID norms.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7262"/>
    <w:rsid w:val="00AE05E9"/>
    <w:rsid w:val="00AF286D"/>
    <w:rsid w:val="00B1392D"/>
    <w:rsid w:val="00B67369"/>
    <w:rsid w:val="00BA3171"/>
    <w:rsid w:val="00BD2BD8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56CE4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413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52</cp:revision>
  <dcterms:created xsi:type="dcterms:W3CDTF">2025-10-18T00:26:00Z</dcterms:created>
  <dcterms:modified xsi:type="dcterms:W3CDTF">2026-01-10T01:09:00Z</dcterms:modified>
</cp:coreProperties>
</file>