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39336C7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E4FE8">
        <w:t>Macro conditions reflect an environment where growth is slowing sequentially and earnings revisions are pressured even as inflation cools from the peak but remains structurally higher than the pre-COVID regime, and the move higher in Gold, a firm USD, positive bond returns amid flat yields, and a weak energy complex collectively reinforce a market that is hedging late-cycle and policy risk even as it leans into pro-cyclical leadership for now.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65</Words>
  <Characters>396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53</cp:revision>
  <dcterms:created xsi:type="dcterms:W3CDTF">2025-10-18T00:25:00Z</dcterms:created>
  <dcterms:modified xsi:type="dcterms:W3CDTF">2026-01-10T01:08:00Z</dcterms:modified>
</cp:coreProperties>
</file>