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91D79" w14:textId="77777777" w:rsidR="004F7739" w:rsidRDefault="00000000">
      <w:r>
        <w:t>Quarterly Market Read: January 07, 2026</w:t>
      </w:r>
    </w:p>
    <w:p w14:paraId="24026144" w14:textId="77777777" w:rsidR="004F7739" w:rsidRDefault="00000000">
      <w:r>
        <w:t>The market is saying (all numbers are QTD % returns):</w:t>
      </w:r>
    </w:p>
    <w:p w14:paraId="0A5A25E7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Breadth: 67.3% of names are positive.</w:t>
      </w:r>
    </w:p>
    <w:p w14:paraId="3F6CCB3C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Information Technology: firm (avg +3.21%)</w:t>
      </w:r>
    </w:p>
    <w:p w14:paraId="4BBD9F1A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Industrials: firm (avg +2.33%)</w:t>
      </w:r>
    </w:p>
    <w:p w14:paraId="448D8E46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Consumer Staples: soft (avg -1.70%)</w:t>
      </w:r>
    </w:p>
    <w:p w14:paraId="0597E781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Consumer Discretionary: firm (avg +2.02%)</w:t>
      </w:r>
    </w:p>
    <w:p w14:paraId="2F98EBB3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Financials: firm (avg +1.75%)</w:t>
      </w:r>
    </w:p>
    <w:p w14:paraId="1896EF79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Utilities: soft (avg -1.67%)</w:t>
      </w:r>
    </w:p>
    <w:p w14:paraId="716DA655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Real Estate: soft (avg -0.52%)</w:t>
      </w:r>
    </w:p>
    <w:p w14:paraId="1692FF9F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Materials: firm (avg +2.92%)</w:t>
      </w:r>
    </w:p>
    <w:p w14:paraId="20652A3D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Energy: flat/firm (avg +0.64%)</w:t>
      </w:r>
    </w:p>
    <w:p w14:paraId="641237D5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Health Care: leading (avg +4.08%)</w:t>
      </w:r>
    </w:p>
    <w:p w14:paraId="29F4BFC5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Communication Services: soft (avg -1.29%)</w:t>
      </w:r>
    </w:p>
    <w:p w14:paraId="2D6DB6CB" w14:textId="77777777" w:rsidR="004F7739" w:rsidRDefault="00000000" w:rsidP="003D0E00">
      <w:pPr>
        <w:pStyle w:val="ListBullet"/>
        <w:numPr>
          <w:ilvl w:val="0"/>
          <w:numId w:val="10"/>
        </w:numPr>
      </w:pPr>
      <w:r>
        <w:t>Energy Complex: soft (avg -2.95%)</w:t>
      </w:r>
    </w:p>
    <w:p w14:paraId="587EDB7A" w14:textId="77777777" w:rsidR="004F7739" w:rsidRDefault="00000000">
      <w:r>
        <w:t>Macro levers (QTD % returns):</w:t>
      </w:r>
    </w:p>
    <w:p w14:paraId="15B6B835" w14:textId="77777777" w:rsidR="004F7739" w:rsidRDefault="00000000" w:rsidP="003D0E00">
      <w:pPr>
        <w:pStyle w:val="ListBullet"/>
        <w:numPr>
          <w:ilvl w:val="0"/>
          <w:numId w:val="11"/>
        </w:numPr>
      </w:pPr>
      <w:r>
        <w:t>Gold: firm (avg +3.26%)</w:t>
      </w:r>
    </w:p>
    <w:p w14:paraId="1DC5776A" w14:textId="77777777" w:rsidR="004F7739" w:rsidRDefault="00000000" w:rsidP="003D0E00">
      <w:pPr>
        <w:pStyle w:val="ListBullet"/>
        <w:numPr>
          <w:ilvl w:val="0"/>
          <w:numId w:val="11"/>
        </w:numPr>
      </w:pPr>
      <w:r>
        <w:t>USD: flat (avg +0.63%)</w:t>
      </w:r>
    </w:p>
    <w:p w14:paraId="3B82CCCA" w14:textId="77777777" w:rsidR="004F7739" w:rsidRDefault="00000000" w:rsidP="003D0E00">
      <w:pPr>
        <w:pStyle w:val="ListBullet"/>
        <w:numPr>
          <w:ilvl w:val="0"/>
          <w:numId w:val="11"/>
        </w:numPr>
      </w:pPr>
      <w:r>
        <w:t>Yields: soft (avg -0.62%)</w:t>
      </w:r>
    </w:p>
    <w:p w14:paraId="23F72C77" w14:textId="77777777" w:rsidR="004F7739" w:rsidRDefault="00000000" w:rsidP="003D0E00">
      <w:pPr>
        <w:pStyle w:val="ListBullet"/>
        <w:numPr>
          <w:ilvl w:val="0"/>
          <w:numId w:val="11"/>
        </w:numPr>
      </w:pPr>
      <w:r>
        <w:t>Bonds: flat (avg +0.40%)</w:t>
      </w:r>
    </w:p>
    <w:p w14:paraId="5C7184DB" w14:textId="77777777" w:rsidR="004F7739" w:rsidRDefault="00000000" w:rsidP="003D0E00">
      <w:pPr>
        <w:pStyle w:val="ListBullet"/>
        <w:numPr>
          <w:ilvl w:val="0"/>
          <w:numId w:val="11"/>
        </w:numPr>
      </w:pPr>
      <w:r>
        <w:t>Energy Complex: falling (avg -2.95%)</w:t>
      </w:r>
    </w:p>
    <w:p w14:paraId="228733C5" w14:textId="77777777" w:rsidR="004F7739" w:rsidRDefault="00000000">
      <w:r>
        <w:t>Bottom line: With roughly two-thirds of constituents positive QTD, breadth remains constructive as Health Care leads alongside firm gains in Technology, Materials, Industrials, Consumer Discretionary, Financials, and a flat-to-firm Energy sector, while defensives like Consumer Staples, Utilities, Real Estate, and Communication Services lag, consistent with a market still rewarding selective cyclicality over pure safety. Macro conditions reflect slowing growth and pressured earnings against still-elevated, sticky inflation, and the combination of firm gold, softer yields, flat bonds and USD, and a weaker Energy complex underscores a cautious, late-cycle posture that matches the tape’s preference for quality growth and balance-sheet strength rather than broad, high-beta risk-on.</w:t>
      </w:r>
    </w:p>
    <w:sectPr w:rsidR="004F773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A5307CF"/>
    <w:multiLevelType w:val="hybridMultilevel"/>
    <w:tmpl w:val="85548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8A20A9"/>
    <w:multiLevelType w:val="hybridMultilevel"/>
    <w:tmpl w:val="6CCC2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1037291">
    <w:abstractNumId w:val="8"/>
  </w:num>
  <w:num w:numId="2" w16cid:durableId="1785270853">
    <w:abstractNumId w:val="6"/>
  </w:num>
  <w:num w:numId="3" w16cid:durableId="2043819078">
    <w:abstractNumId w:val="5"/>
  </w:num>
  <w:num w:numId="4" w16cid:durableId="1276522241">
    <w:abstractNumId w:val="4"/>
  </w:num>
  <w:num w:numId="5" w16cid:durableId="1352342131">
    <w:abstractNumId w:val="7"/>
  </w:num>
  <w:num w:numId="6" w16cid:durableId="1692953884">
    <w:abstractNumId w:val="3"/>
  </w:num>
  <w:num w:numId="7" w16cid:durableId="786775790">
    <w:abstractNumId w:val="2"/>
  </w:num>
  <w:num w:numId="8" w16cid:durableId="256640855">
    <w:abstractNumId w:val="1"/>
  </w:num>
  <w:num w:numId="9" w16cid:durableId="452602045">
    <w:abstractNumId w:val="0"/>
  </w:num>
  <w:num w:numId="10" w16cid:durableId="1406688507">
    <w:abstractNumId w:val="9"/>
  </w:num>
  <w:num w:numId="11" w16cid:durableId="14296893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82B03"/>
    <w:rsid w:val="003D0E00"/>
    <w:rsid w:val="004F7739"/>
    <w:rsid w:val="00554D0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EE8E3C"/>
  <w14:defaultImageDpi w14:val="300"/>
  <w15:docId w15:val="{65A25BA1-184F-4A83-813B-6F9ABEF19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207</Words>
  <Characters>1307</Characters>
  <Application>Microsoft Office Word</Application>
  <DocSecurity>0</DocSecurity>
  <Lines>30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2026-01-08T01:06:00Z</dcterms:created>
  <dcterms:modified xsi:type="dcterms:W3CDTF">2026-01-08T01:06:00Z</dcterms:modified>
  <cp:category/>
</cp:coreProperties>
</file>