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551E525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87DF3">
        <w:t>Macro conditions reflect expectations for slowing but still positive growth with moderating, above-trend inflation as falling yields, firmer bonds, a stronger USD, and a bid in gold alongside a weaker energy complex collectively point to a market that is reassessing the pace of future tightening and growth durability rather than discounting an imminent shock.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33B96"/>
    <w:rsid w:val="00B53785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</Words>
  <Characters>323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51</cp:revision>
  <dcterms:created xsi:type="dcterms:W3CDTF">2025-10-18T00:25:00Z</dcterms:created>
  <dcterms:modified xsi:type="dcterms:W3CDTF">2026-01-08T01:04:00Z</dcterms:modified>
</cp:coreProperties>
</file>