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past 30 days, broad U. S. equities and sectors all show moderate negative sensitivity to 10-year yields, with the S&amp;P 500, Nasdaq 100, Russell 2000, Financials, and Utilities each moving somewhat inversely to rate changes. This suggests equity performance has recently tended to soften when yields rise, with that relationship more pronounced in the 30D window than in the shorter 15D or longer 90D views.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