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On the 30-day window, USD moves are felt most in oil and gold, both showing mild but clear negative linkages, while the S&amp;P 500 is only modestly inverse and broad commodities barely respond. That influence is concentrated rather than broad-based, as Bitcoin and the diversified commodity basket show little systematic connection to the dollar across all windows. Gold’s more persistent negative correlation versus the 90-day view suggests it has been the most consistently sensitive to dollar strength or weakness over recent months.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