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Across equities and sectors, 30-day correlations to the 10-year yield are moderately negative (around -0.03), indicating that recent equity and sector moves have generally leaned to benefit when yields ease. The tech-heavy Nasdaq 100, broad S&amp;P 500, and small caps all show similar 30-day rate sensitivity, rather than any one equity segment dominating. Shorter (15-day) and longer (90-day) windows are much closer to zero, suggesting that this rate linkage has been more pronounced in the intermediate-term than in very recent or longer-run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