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view, the clearest USD sensitivity is concentrated in gold, where a stronger dollar has recently aligned with weaker gold prices, and vice versa. Equities and oil show a moderate, shorter-term tendency to move opposite the dollar, but that linkage fades over the 90-day window. Broad commodities and Bitcoin display relatively contained and weak relationships to the USD here, suggesting their recent moves have been driven more by asset-specific factors than by the currency.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