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past 30 trading days, broad U. S. equities and growth stocks (SPX, NDX) have shown a moderate negative linkage to moves in the 10-year yield, implying that rising rates have recently tended to pressure these indexes. Rate sensitivity for small caps, financials, and utilities is relatively contained on this window, with only mild directional pull from yields.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