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On the 30D view, USD sensitivity is concentrated in commodities, with broad commodities, oil, and especially gold all tending to weaken when the dollar strengthens. Gold shows the clearest and most consistently negative linkage to the USD across 15D, 30D, and 90D windows. In contrast, the S&amp;P 500 and Bitcoin show only mild and unstable relationships to the dollar, suggesting equity and crypto moves have recently been driven more by asset-specific factors than by currency swings.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